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F138E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5"/>
          <w:rFonts w:hint="eastAsia" w:ascii="方正小标宋简体" w:hAnsi="方正小标宋简体" w:eastAsia="方正小标宋简体" w:cs="方正小标宋简体"/>
          <w:b w:val="0"/>
          <w:bCs/>
          <w:i w:val="0"/>
          <w:iCs w:val="0"/>
          <w:caps w:val="0"/>
          <w:color w:val="auto"/>
          <w:spacing w:val="0"/>
          <w:sz w:val="36"/>
          <w:szCs w:val="36"/>
          <w:shd w:val="clear" w:color="auto" w:fill="FFFFFF"/>
          <w:lang w:val="en-US" w:eastAsia="zh-CN"/>
        </w:rPr>
      </w:pPr>
      <w:bookmarkStart w:id="0" w:name="_GoBack"/>
      <w:r>
        <w:rPr>
          <w:rStyle w:val="5"/>
          <w:rFonts w:hint="eastAsia" w:ascii="方正小标宋简体" w:hAnsi="方正小标宋简体" w:eastAsia="方正小标宋简体" w:cs="方正小标宋简体"/>
          <w:b w:val="0"/>
          <w:bCs/>
          <w:i w:val="0"/>
          <w:iCs w:val="0"/>
          <w:caps w:val="0"/>
          <w:color w:val="auto"/>
          <w:spacing w:val="0"/>
          <w:sz w:val="36"/>
          <w:szCs w:val="36"/>
          <w:shd w:val="clear" w:color="auto" w:fill="FFFFFF"/>
          <w:lang w:val="en-US" w:eastAsia="zh-CN"/>
        </w:rPr>
        <w:t>市场监督管理信用修复指引</w:t>
      </w:r>
    </w:p>
    <w:bookmarkEnd w:id="0"/>
    <w:p w14:paraId="08BE73DD">
      <w:pPr>
        <w:ind w:firstLine="640" w:firstLineChars="200"/>
        <w:rPr>
          <w:rFonts w:ascii="仿宋_GB2312" w:hAnsi="仿宋_GB2312" w:eastAsia="仿宋_GB2312" w:cs="仿宋_GB2312"/>
          <w:color w:val="000000"/>
          <w:sz w:val="32"/>
          <w:szCs w:val="32"/>
        </w:rPr>
      </w:pPr>
    </w:p>
    <w:p w14:paraId="6DF3FAA9">
      <w:pPr>
        <w:ind w:firstLine="640" w:firstLineChars="200"/>
        <w:rPr>
          <w:rFonts w:hint="eastAsia" w:ascii="黑体" w:hAnsi="黑体" w:eastAsia="黑体" w:cs="黑体"/>
          <w:color w:val="000000"/>
          <w:sz w:val="32"/>
          <w:szCs w:val="32"/>
        </w:rPr>
      </w:pPr>
      <w:r>
        <w:rPr>
          <w:rFonts w:hint="eastAsia" w:ascii="黑体" w:hAnsi="黑体" w:eastAsia="黑体" w:cs="黑体"/>
          <w:color w:val="000000"/>
          <w:sz w:val="32"/>
          <w:szCs w:val="32"/>
        </w:rPr>
        <w:t>一、</w:t>
      </w:r>
      <w:r>
        <w:rPr>
          <w:rFonts w:hint="eastAsia" w:ascii="黑体" w:hAnsi="黑体" w:eastAsia="黑体" w:cs="黑体"/>
          <w:color w:val="000000"/>
          <w:sz w:val="32"/>
          <w:szCs w:val="32"/>
          <w:lang w:eastAsia="zh-CN"/>
        </w:rPr>
        <w:t>申请</w:t>
      </w:r>
      <w:r>
        <w:rPr>
          <w:rFonts w:hint="eastAsia" w:ascii="黑体" w:hAnsi="黑体" w:eastAsia="黑体" w:cs="黑体"/>
          <w:color w:val="000000"/>
          <w:sz w:val="32"/>
          <w:szCs w:val="32"/>
        </w:rPr>
        <w:t>材料</w:t>
      </w:r>
    </w:p>
    <w:p w14:paraId="7BC2ACA0">
      <w:pPr>
        <w:ind w:firstLine="640" w:firstLineChars="2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（一）行政处罚信用修复申请材料</w:t>
      </w:r>
    </w:p>
    <w:p w14:paraId="30A3B030">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w:t>
      </w:r>
      <w:r>
        <w:rPr>
          <w:rFonts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rPr>
        <w:t>信用修复申请书（说明：自行下载模板，由当事人填写后，按要求签字盖章，生成PDF文件）</w:t>
      </w:r>
    </w:p>
    <w:p w14:paraId="2EA1210A">
      <w:pPr>
        <w:ind w:firstLine="640" w:firstLineChars="200"/>
        <w:rPr>
          <w:rFonts w:hint="eastAsia" w:ascii="仿宋_GB2312" w:hAnsi="仿宋_GB2312" w:eastAsia="仿宋_GB2312" w:cs="仿宋_GB2312"/>
          <w:color w:val="000000"/>
          <w:sz w:val="32"/>
          <w:szCs w:val="32"/>
        </w:rPr>
      </w:pPr>
      <w:r>
        <w:rPr>
          <w:rFonts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rPr>
        <w:t>守信承诺书（说明：自行下载模板，由当事人填写后，按要求签字盖章，生成PDF文件）</w:t>
      </w:r>
    </w:p>
    <w:p w14:paraId="3304FFF7">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w:t>
      </w:r>
      <w:r>
        <w:rPr>
          <w:rFonts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rPr>
        <w:t>履行法定义务、纠正违法行为的相关材料（</w:t>
      </w:r>
      <w:r>
        <w:rPr>
          <w:rFonts w:hint="eastAsia" w:ascii="仿宋_GB2312" w:hAnsi="仿宋_GB2312" w:cs="仿宋_GB2312"/>
          <w:b/>
          <w:bCs/>
          <w:color w:val="000000"/>
          <w:sz w:val="32"/>
          <w:szCs w:val="32"/>
          <w:lang w:eastAsia="zh-CN"/>
        </w:rPr>
        <w:t>该材料为非必填项，可不提供。</w:t>
      </w:r>
      <w:r>
        <w:rPr>
          <w:rFonts w:hint="eastAsia" w:ascii="仿宋_GB2312" w:hAnsi="仿宋_GB2312" w:eastAsia="仿宋_GB2312" w:cs="仿宋_GB2312"/>
          <w:color w:val="000000"/>
          <w:sz w:val="32"/>
          <w:szCs w:val="32"/>
        </w:rPr>
        <w:t>包括但不限于处罚决定书复印件、缴纳罚款收据复印件</w:t>
      </w:r>
      <w:r>
        <w:rPr>
          <w:rFonts w:hint="eastAsia" w:ascii="仿宋_GB2312" w:hAnsi="仿宋_GB2312" w:cs="仿宋_GB2312"/>
          <w:color w:val="000000"/>
          <w:sz w:val="32"/>
          <w:szCs w:val="32"/>
          <w:lang w:eastAsia="zh-CN"/>
        </w:rPr>
        <w:t>、</w:t>
      </w:r>
      <w:r>
        <w:rPr>
          <w:rFonts w:hint="eastAsia" w:ascii="仿宋_GB2312" w:hAnsi="仿宋_GB2312" w:cs="仿宋_GB2312"/>
          <w:i w:val="0"/>
          <w:iCs w:val="0"/>
          <w:caps w:val="0"/>
          <w:color w:val="auto"/>
          <w:spacing w:val="0"/>
          <w:sz w:val="32"/>
          <w:szCs w:val="32"/>
          <w:shd w:val="clear" w:color="auto" w:fill="FFFFFF"/>
          <w:lang w:val="en-US" w:eastAsia="zh-CN"/>
        </w:rPr>
        <w:t>整改报告书、修复培训记录等</w:t>
      </w:r>
      <w:r>
        <w:rPr>
          <w:rFonts w:hint="eastAsia" w:ascii="仿宋_GB2312" w:hAnsi="仿宋_GB2312" w:eastAsia="仿宋_GB2312" w:cs="仿宋_GB2312"/>
          <w:color w:val="000000"/>
          <w:sz w:val="32"/>
          <w:szCs w:val="32"/>
        </w:rPr>
        <w:t>相关材料）</w:t>
      </w:r>
    </w:p>
    <w:p w14:paraId="4F9A8C8A">
      <w:pPr>
        <w:ind w:firstLine="640" w:firstLineChars="2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（二）经营异常名录信用修复申请材料</w:t>
      </w:r>
    </w:p>
    <w:p w14:paraId="1350FA7E">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（1）信用修复申请书（说明：自行下载模板，由当事人填写后，按要求签字盖章，生成PDF文件）</w:t>
      </w:r>
    </w:p>
    <w:p w14:paraId="68D225F1">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（2）守信承诺书（说明：自行下载模板，由当事人填写后，按要求签字盖章，生成PDF文件）</w:t>
      </w:r>
    </w:p>
    <w:p w14:paraId="5ECFCE5C">
      <w:pPr>
        <w:ind w:firstLine="640" w:firstLineChars="2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（三）严重违法失信名单信用修复申请材料</w:t>
      </w:r>
    </w:p>
    <w:p w14:paraId="3BA9709D">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（1）信用修复申请书（说明：自行下载模板，由当事人填写后，按要求签字盖章，生成PDF文件）</w:t>
      </w:r>
    </w:p>
    <w:p w14:paraId="70F5A218">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（2）守信承诺书（说明：自行下载模板，由当事人填写后，按要求签字盖章，生成PDF文件）</w:t>
      </w:r>
    </w:p>
    <w:p w14:paraId="1EBAC1CC">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（3）履行法定义务、纠正违法行为的相关材料（</w:t>
      </w:r>
      <w:r>
        <w:rPr>
          <w:rFonts w:hint="eastAsia" w:ascii="仿宋_GB2312" w:hAnsi="仿宋_GB2312" w:cs="仿宋_GB2312"/>
          <w:b/>
          <w:bCs/>
          <w:color w:val="000000"/>
          <w:sz w:val="32"/>
          <w:szCs w:val="32"/>
          <w:lang w:eastAsia="zh-CN"/>
        </w:rPr>
        <w:t>该材料为非必填项，可不提供。</w:t>
      </w:r>
      <w:r>
        <w:rPr>
          <w:rFonts w:hint="eastAsia" w:ascii="仿宋_GB2312" w:hAnsi="仿宋_GB2312" w:eastAsia="仿宋_GB2312" w:cs="仿宋_GB2312"/>
          <w:color w:val="000000"/>
          <w:sz w:val="32"/>
          <w:szCs w:val="32"/>
        </w:rPr>
        <w:t>包括但不限于处罚决定书复印件、缴纳罚款收据复印件</w:t>
      </w:r>
      <w:r>
        <w:rPr>
          <w:rFonts w:hint="eastAsia" w:ascii="仿宋_GB2312" w:hAnsi="仿宋_GB2312" w:cs="仿宋_GB2312"/>
          <w:color w:val="000000"/>
          <w:sz w:val="32"/>
          <w:szCs w:val="32"/>
          <w:lang w:eastAsia="zh-CN"/>
        </w:rPr>
        <w:t>、</w:t>
      </w:r>
      <w:r>
        <w:rPr>
          <w:rFonts w:hint="eastAsia" w:ascii="仿宋_GB2312" w:hAnsi="仿宋_GB2312" w:cs="仿宋_GB2312"/>
          <w:i w:val="0"/>
          <w:iCs w:val="0"/>
          <w:caps w:val="0"/>
          <w:color w:val="auto"/>
          <w:spacing w:val="0"/>
          <w:sz w:val="32"/>
          <w:szCs w:val="32"/>
          <w:shd w:val="clear" w:color="auto" w:fill="FFFFFF"/>
          <w:lang w:val="en-US" w:eastAsia="zh-CN"/>
        </w:rPr>
        <w:t>整改报告书、修复培训记录等</w:t>
      </w:r>
      <w:r>
        <w:rPr>
          <w:rFonts w:hint="eastAsia" w:ascii="仿宋_GB2312" w:hAnsi="仿宋_GB2312" w:eastAsia="仿宋_GB2312" w:cs="仿宋_GB2312"/>
          <w:color w:val="000000"/>
          <w:sz w:val="32"/>
          <w:szCs w:val="32"/>
        </w:rPr>
        <w:t>相关材料）</w:t>
      </w:r>
    </w:p>
    <w:p w14:paraId="663EB670">
      <w:pPr>
        <w:ind w:firstLine="640" w:firstLineChars="200"/>
        <w:rPr>
          <w:rFonts w:hint="eastAsia" w:ascii="黑体" w:hAnsi="黑体" w:eastAsia="黑体" w:cs="黑体"/>
          <w:color w:val="000000"/>
          <w:sz w:val="32"/>
          <w:szCs w:val="32"/>
        </w:rPr>
      </w:pPr>
      <w:r>
        <w:rPr>
          <w:rFonts w:hint="eastAsia" w:ascii="黑体" w:hAnsi="黑体" w:eastAsia="黑体" w:cs="黑体"/>
          <w:color w:val="000000"/>
          <w:sz w:val="32"/>
          <w:szCs w:val="32"/>
        </w:rPr>
        <w:t>二、</w:t>
      </w:r>
      <w:r>
        <w:rPr>
          <w:rFonts w:hint="eastAsia" w:ascii="黑体" w:hAnsi="黑体" w:eastAsia="黑体" w:cs="黑体"/>
          <w:color w:val="000000"/>
          <w:sz w:val="32"/>
          <w:szCs w:val="32"/>
          <w:lang w:eastAsia="zh-CN"/>
        </w:rPr>
        <w:t>申请</w:t>
      </w:r>
      <w:r>
        <w:rPr>
          <w:rFonts w:hint="eastAsia" w:ascii="黑体" w:hAnsi="黑体" w:eastAsia="黑体" w:cs="黑体"/>
          <w:color w:val="000000"/>
          <w:sz w:val="32"/>
          <w:szCs w:val="32"/>
        </w:rPr>
        <w:t>流程</w:t>
      </w:r>
    </w:p>
    <w:p w14:paraId="528D45BF">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在国家企业信用信息公示系统首页（</w:t>
      </w:r>
      <w:r>
        <w:fldChar w:fldCharType="begin"/>
      </w:r>
      <w:r>
        <w:instrText xml:space="preserve"> HYPERLINK "http://www.gsxt.gov.cn/index.html" </w:instrText>
      </w:r>
      <w:r>
        <w:fldChar w:fldCharType="separate"/>
      </w:r>
      <w:r>
        <w:rPr>
          <w:rStyle w:val="6"/>
          <w:rFonts w:ascii="仿宋_GB2312" w:hAnsi="仿宋_GB2312" w:eastAsia="仿宋_GB2312" w:cs="仿宋_GB2312"/>
          <w:sz w:val="32"/>
          <w:szCs w:val="32"/>
        </w:rPr>
        <w:t>www.gsxt.gov.cn</w:t>
      </w:r>
      <w:r>
        <w:rPr>
          <w:rStyle w:val="6"/>
          <w:rFonts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t>）点击“信用修复”</w:t>
      </w:r>
    </w:p>
    <w:p w14:paraId="761BAA68">
      <w:pPr>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drawing>
          <wp:inline distT="0" distB="0" distL="114300" distR="114300">
            <wp:extent cx="5274310" cy="2936240"/>
            <wp:effectExtent l="0" t="0" r="2540" b="16510"/>
            <wp:docPr id="3" name="图片 1" descr="C:\工作文件\市场监管总局\应用开发一处\2024年工作任务\统一信用修复\下发材料\提交信用监管司20241209\市场监管信用修复全国统一平台（截图）\1首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工作文件\市场监管总局\应用开发一处\2024年工作任务\统一信用修复\下发材料\提交信用监管司20241209\市场监管信用修复全国统一平台（截图）\1首页.png"/>
                    <pic:cNvPicPr>
                      <a:picLocks noChangeAspect="1"/>
                    </pic:cNvPicPr>
                  </pic:nvPicPr>
                  <pic:blipFill>
                    <a:blip r:embed="rId4"/>
                    <a:stretch>
                      <a:fillRect/>
                    </a:stretch>
                  </pic:blipFill>
                  <pic:spPr>
                    <a:xfrm>
                      <a:off x="0" y="0"/>
                      <a:ext cx="5274310" cy="2936240"/>
                    </a:xfrm>
                    <a:prstGeom prst="rect">
                      <a:avLst/>
                    </a:prstGeom>
                    <a:noFill/>
                    <a:ln>
                      <a:noFill/>
                    </a:ln>
                  </pic:spPr>
                </pic:pic>
              </a:graphicData>
            </a:graphic>
          </wp:inline>
        </w:drawing>
      </w:r>
    </w:p>
    <w:p w14:paraId="3F2ABD6C">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扫描二维码进行电子营业执照登录</w:t>
      </w:r>
    </w:p>
    <w:p w14:paraId="0B41319F">
      <w:pPr>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drawing>
          <wp:inline distT="0" distB="0" distL="114300" distR="114300">
            <wp:extent cx="5274310" cy="2565400"/>
            <wp:effectExtent l="0" t="0" r="2540" b="6350"/>
            <wp:docPr id="1" name="图片 2" descr="C:\工作文件\市场监管总局\应用开发一处\2024年工作任务\统一信用修复\下发材料\提交信用监管司20241209\市场监管信用修复全国统一平台（截图）\2经营主体信息采集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工作文件\市场监管总局\应用开发一处\2024年工作任务\统一信用修复\下发材料\提交信用监管司20241209\市场监管信用修复全国统一平台（截图）\2经营主体信息采集页.png"/>
                    <pic:cNvPicPr>
                      <a:picLocks noChangeAspect="1"/>
                    </pic:cNvPicPr>
                  </pic:nvPicPr>
                  <pic:blipFill>
                    <a:blip r:embed="rId5"/>
                    <a:stretch>
                      <a:fillRect/>
                    </a:stretch>
                  </pic:blipFill>
                  <pic:spPr>
                    <a:xfrm>
                      <a:off x="0" y="0"/>
                      <a:ext cx="5274310" cy="2565400"/>
                    </a:xfrm>
                    <a:prstGeom prst="rect">
                      <a:avLst/>
                    </a:prstGeom>
                    <a:noFill/>
                    <a:ln>
                      <a:noFill/>
                    </a:ln>
                  </pic:spPr>
                </pic:pic>
              </a:graphicData>
            </a:graphic>
          </wp:inline>
        </w:drawing>
      </w:r>
    </w:p>
    <w:p w14:paraId="13919CE5">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登录后查看可修复的违法失信信息，包括行政处罚信息、经营异常名录信息、严重违法失信名单信息</w:t>
      </w:r>
    </w:p>
    <w:p w14:paraId="450BF2C1">
      <w:pPr>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drawing>
          <wp:inline distT="0" distB="0" distL="114300" distR="114300">
            <wp:extent cx="5274310" cy="3069590"/>
            <wp:effectExtent l="0" t="0" r="2540" b="16510"/>
            <wp:docPr id="4" name="图片 3" descr="C:\工作文件\市场监管总局\应用开发一处\2024年工作任务\统一信用修复\下发材料\提交信用监管司20241209\一图读懂\市场监管信用修复全国统一平台（截图）\3-1信用修复导航页（处罚）.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工作文件\市场监管总局\应用开发一处\2024年工作任务\统一信用修复\下发材料\提交信用监管司20241209\一图读懂\市场监管信用修复全国统一平台（截图）\3-1信用修复导航页（处罚）.png"/>
                    <pic:cNvPicPr>
                      <a:picLocks noChangeAspect="1"/>
                    </pic:cNvPicPr>
                  </pic:nvPicPr>
                  <pic:blipFill>
                    <a:blip r:embed="rId6"/>
                    <a:stretch>
                      <a:fillRect/>
                    </a:stretch>
                  </pic:blipFill>
                  <pic:spPr>
                    <a:xfrm>
                      <a:off x="0" y="0"/>
                      <a:ext cx="5274310" cy="3069590"/>
                    </a:xfrm>
                    <a:prstGeom prst="rect">
                      <a:avLst/>
                    </a:prstGeom>
                    <a:noFill/>
                    <a:ln>
                      <a:noFill/>
                    </a:ln>
                  </pic:spPr>
                </pic:pic>
              </a:graphicData>
            </a:graphic>
          </wp:inline>
        </w:drawing>
      </w:r>
    </w:p>
    <w:p w14:paraId="06DA0202">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点击“去修复”，即可到该违法失信信息决定机关所在省份的信用修复系统，开展信用修复，如“去修复”推荐的决定机关所在省份不正确，也可更改修复单位</w:t>
      </w:r>
    </w:p>
    <w:p w14:paraId="39A9939C">
      <w:pPr>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drawing>
          <wp:inline distT="0" distB="0" distL="114300" distR="114300">
            <wp:extent cx="5274310" cy="2576195"/>
            <wp:effectExtent l="0" t="0" r="2540" b="14605"/>
            <wp:docPr id="6" name="图片 4" descr="C:\工作文件\市场监管总局\应用开发一处\2024年工作任务\统一信用修复\下发材料\提交信用监管司20241209\一图读懂\市场监管信用修复全国统一平台（截图）\3-2信用修复导航页（处罚）去修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C:\工作文件\市场监管总局\应用开发一处\2024年工作任务\统一信用修复\下发材料\提交信用监管司20241209\一图读懂\市场监管信用修复全国统一平台（截图）\3-2信用修复导航页（处罚）去修复.png"/>
                    <pic:cNvPicPr>
                      <a:picLocks noChangeAspect="1"/>
                    </pic:cNvPicPr>
                  </pic:nvPicPr>
                  <pic:blipFill>
                    <a:blip r:embed="rId7"/>
                    <a:stretch>
                      <a:fillRect/>
                    </a:stretch>
                  </pic:blipFill>
                  <pic:spPr>
                    <a:xfrm>
                      <a:off x="0" y="0"/>
                      <a:ext cx="5274310" cy="2576195"/>
                    </a:xfrm>
                    <a:prstGeom prst="rect">
                      <a:avLst/>
                    </a:prstGeom>
                    <a:noFill/>
                    <a:ln>
                      <a:noFill/>
                    </a:ln>
                  </pic:spPr>
                </pic:pic>
              </a:graphicData>
            </a:graphic>
          </wp:inline>
        </w:drawing>
      </w:r>
    </w:p>
    <w:p w14:paraId="2C523CE4">
      <w:pPr>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drawing>
          <wp:inline distT="0" distB="0" distL="114300" distR="114300">
            <wp:extent cx="5274310" cy="2576195"/>
            <wp:effectExtent l="0" t="0" r="2540" b="14605"/>
            <wp:docPr id="2" name="图片 5" descr="C:\工作文件\市场监管总局\应用开发一处\2024年工作任务\统一信用修复\下发材料\提交信用监管司20241209\一图读懂\市场监管信用修复全国统一平台（截图）\3-4信用修复导航页（处罚）选择修复单位去修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C:\工作文件\市场监管总局\应用开发一处\2024年工作任务\统一信用修复\下发材料\提交信用监管司20241209\一图读懂\市场监管信用修复全国统一平台（截图）\3-4信用修复导航页（处罚）选择修复单位去修复.png"/>
                    <pic:cNvPicPr>
                      <a:picLocks noChangeAspect="1"/>
                    </pic:cNvPicPr>
                  </pic:nvPicPr>
                  <pic:blipFill>
                    <a:blip r:embed="rId8"/>
                    <a:stretch>
                      <a:fillRect/>
                    </a:stretch>
                  </pic:blipFill>
                  <pic:spPr>
                    <a:xfrm>
                      <a:off x="0" y="0"/>
                      <a:ext cx="5274310" cy="2576195"/>
                    </a:xfrm>
                    <a:prstGeom prst="rect">
                      <a:avLst/>
                    </a:prstGeom>
                    <a:noFill/>
                    <a:ln>
                      <a:noFill/>
                    </a:ln>
                  </pic:spPr>
                </pic:pic>
              </a:graphicData>
            </a:graphic>
          </wp:inline>
        </w:drawing>
      </w:r>
    </w:p>
    <w:p w14:paraId="575CE18A">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点击“确定”到省级信用修复系统，提交信用修复申请，开展信用修复审核流程，按照“谁列入谁修复”、“谁处罚谁修复”原则，支持本省或异地经营主体的信用修复。</w:t>
      </w:r>
    </w:p>
    <w:p w14:paraId="2217444F">
      <w:pPr>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drawing>
          <wp:inline distT="0" distB="0" distL="114300" distR="114300">
            <wp:extent cx="5274310" cy="2761615"/>
            <wp:effectExtent l="0" t="0" r="2540" b="635"/>
            <wp:docPr id="5" name="图片 6" descr="C:\工作文件\市场监管总局\应用开发一处\2024年工作任务\统一信用修复\下发材料\提交信用监管司20241209\市场监管信用修复全国统一平台（截图）\3-3信用修复导航页（处罚）选择河北省去修复-河北修复系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C:\工作文件\市场监管总局\应用开发一处\2024年工作任务\统一信用修复\下发材料\提交信用监管司20241209\市场监管信用修复全国统一平台（截图）\3-3信用修复导航页（处罚）选择河北省去修复-河北修复系统.png"/>
                    <pic:cNvPicPr>
                      <a:picLocks noChangeAspect="1"/>
                    </pic:cNvPicPr>
                  </pic:nvPicPr>
                  <pic:blipFill>
                    <a:blip r:embed="rId9"/>
                    <a:stretch>
                      <a:fillRect/>
                    </a:stretch>
                  </pic:blipFill>
                  <pic:spPr>
                    <a:xfrm>
                      <a:off x="0" y="0"/>
                      <a:ext cx="5274310" cy="2761615"/>
                    </a:xfrm>
                    <a:prstGeom prst="rect">
                      <a:avLst/>
                    </a:prstGeom>
                    <a:noFill/>
                    <a:ln>
                      <a:noFill/>
                    </a:ln>
                  </pic:spPr>
                </pic:pic>
              </a:graphicData>
            </a:graphic>
          </wp:inline>
        </w:drawing>
      </w:r>
    </w:p>
    <w:p w14:paraId="054C03F7">
      <w:pPr>
        <w:ind w:firstLine="640" w:firstLineChars="200"/>
        <w:rPr>
          <w:rFonts w:ascii="仿宋_GB2312" w:hAnsi="仿宋_GB2312" w:eastAsia="仿宋_GB2312" w:cs="仿宋_GB2312"/>
          <w:color w:val="000000"/>
          <w:sz w:val="32"/>
          <w:szCs w:val="32"/>
        </w:rPr>
      </w:pPr>
    </w:p>
    <w:p w14:paraId="329C3988">
      <w:pPr>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信用修复完成后，信用修复结果数据会同步推送到国家企业信用信息公示系统进行更新（具体推送更新时间以实际为准）。</w:t>
      </w:r>
    </w:p>
    <w:p w14:paraId="511A6BE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D6414B"/>
    <w:rsid w:val="5DD64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4"/>
      <w:lang w:val="en-US" w:eastAsia="zh-CN" w:bidi="ar-SA"/>
    </w:rPr>
  </w:style>
  <w:style w:type="paragraph" w:styleId="2">
    <w:name w:val="heading 2"/>
    <w:basedOn w:val="1"/>
    <w:next w:val="1"/>
    <w:unhideWhenUsed/>
    <w:qFormat/>
    <w:uiPriority w:val="9"/>
    <w:pPr>
      <w:keepNext/>
      <w:keepLines/>
      <w:ind w:firstLine="200" w:firstLineChars="200"/>
      <w:outlineLvl w:val="1"/>
    </w:pPr>
    <w:rPr>
      <w:rFonts w:ascii="Cambria" w:hAnsi="Cambria" w:eastAsia="黑体" w:cs="Times New Roman"/>
      <w:b/>
      <w:bCs/>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2025-03-05T06:11:00Z</dcterms:created>
  <dc:creator>十八岁少年想当歌手</dc:creator>
  <cp:lastModifiedBy>十八岁少年想当歌手</cp:lastModifiedBy>
  <dcterms:modified xsi:type="dcterms:W3CDTF">2025-03-05T06:12:06Z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A4981A77927948399673ED6B0917C90F_11</vt:lpwstr>
  </property>
  <property fmtid="{D5CDD505-2E9C-101B-9397-08002B2CF9AE}" pid="4" name="KSOTemplateDocerSaveRecord">
    <vt:lpwstr>eyJoZGlkIjoiODViYzVmMmZmNmUwMDg0NDQxMGMzMzI5ZWY0MmRkMTciLCJ1c2VySWQiOiI2MzQxMDE3MzgifQ==</vt:lpwstr>
  </property>
</Properties>
</file>